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D99E" w14:textId="77777777" w:rsidR="009025E4" w:rsidRDefault="00790BCD">
      <w:pPr>
        <w:pStyle w:val="Title"/>
      </w:pPr>
      <w:r>
        <w:t>Complaints</w:t>
      </w:r>
      <w:r>
        <w:rPr>
          <w:spacing w:val="-4"/>
        </w:rPr>
        <w:t xml:space="preserve"> </w:t>
      </w:r>
      <w:r>
        <w:t>Policy</w:t>
      </w:r>
    </w:p>
    <w:p w14:paraId="282F37E6" w14:textId="77777777" w:rsidR="009025E4" w:rsidRDefault="009025E4">
      <w:pPr>
        <w:pStyle w:val="BodyText"/>
        <w:spacing w:before="9"/>
        <w:rPr>
          <w:b/>
          <w:sz w:val="19"/>
        </w:rPr>
      </w:pPr>
    </w:p>
    <w:p w14:paraId="3680408E" w14:textId="77777777" w:rsidR="009025E4" w:rsidRDefault="00790BCD">
      <w:pPr>
        <w:pStyle w:val="Heading1"/>
        <w:spacing w:before="93"/>
      </w:pPr>
      <w:r>
        <w:t>Policy</w:t>
      </w:r>
      <w:r>
        <w:rPr>
          <w:spacing w:val="-4"/>
        </w:rPr>
        <w:t xml:space="preserve"> </w:t>
      </w:r>
      <w:r>
        <w:t>statement</w:t>
      </w:r>
    </w:p>
    <w:p w14:paraId="713964CB" w14:textId="77777777" w:rsidR="009025E4" w:rsidRDefault="009025E4">
      <w:pPr>
        <w:pStyle w:val="BodyText"/>
        <w:spacing w:before="10"/>
        <w:rPr>
          <w:b/>
          <w:sz w:val="28"/>
        </w:rPr>
      </w:pPr>
    </w:p>
    <w:p w14:paraId="41DCBE73" w14:textId="77777777" w:rsidR="009025E4" w:rsidRDefault="00790BCD">
      <w:pPr>
        <w:pStyle w:val="BodyText"/>
        <w:spacing w:line="276" w:lineRule="auto"/>
        <w:ind w:left="101" w:right="212"/>
      </w:pPr>
      <w:r>
        <w:t>Wiltshire Exam Centre is committed to providing a reputable and responsive service, but we</w:t>
      </w:r>
      <w:r>
        <w:rPr>
          <w:spacing w:val="-59"/>
        </w:rPr>
        <w:t xml:space="preserve"> </w:t>
      </w:r>
      <w:proofErr w:type="spellStart"/>
      <w:r>
        <w:t>recognise</w:t>
      </w:r>
      <w:proofErr w:type="spellEnd"/>
      <w:r>
        <w:t xml:space="preserve"> that sometimes things can go wrong. Our aim is to deal with complaints in a</w:t>
      </w:r>
      <w:r>
        <w:rPr>
          <w:spacing w:val="1"/>
        </w:rPr>
        <w:t xml:space="preserve"> </w:t>
      </w:r>
      <w:r>
        <w:t>sensitive, sincere and timely manner and to ensure our candidates, staff and associates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procedures.</w:t>
      </w:r>
    </w:p>
    <w:p w14:paraId="4C83219C" w14:textId="77777777" w:rsidR="009025E4" w:rsidRDefault="009025E4">
      <w:pPr>
        <w:pStyle w:val="BodyText"/>
        <w:spacing w:before="5"/>
        <w:rPr>
          <w:sz w:val="25"/>
        </w:rPr>
      </w:pPr>
    </w:p>
    <w:p w14:paraId="5DAD43B9" w14:textId="77777777" w:rsidR="009025E4" w:rsidRDefault="00790BCD">
      <w:pPr>
        <w:pStyle w:val="Heading1"/>
      </w:pPr>
      <w:r>
        <w:t>Scope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Usage</w:t>
      </w:r>
    </w:p>
    <w:p w14:paraId="5B0BF92E" w14:textId="77777777" w:rsidR="009025E4" w:rsidRDefault="009025E4">
      <w:pPr>
        <w:pStyle w:val="BodyText"/>
        <w:spacing w:before="11"/>
        <w:rPr>
          <w:b/>
          <w:sz w:val="28"/>
        </w:rPr>
      </w:pPr>
    </w:p>
    <w:p w14:paraId="756345E8" w14:textId="7846EDBF" w:rsidR="009025E4" w:rsidRDefault="00790BCD">
      <w:pPr>
        <w:pStyle w:val="BodyText"/>
        <w:spacing w:line="278" w:lineRule="auto"/>
        <w:ind w:left="101" w:right="126"/>
      </w:pPr>
      <w:r>
        <w:t>This policy covers</w:t>
      </w:r>
      <w:r>
        <w:t xml:space="preserve"> complaints from candidates (and their parents/guardians), staff and</w:t>
      </w:r>
      <w:r>
        <w:rPr>
          <w:spacing w:val="1"/>
        </w:rPr>
        <w:t xml:space="preserve"> </w:t>
      </w:r>
      <w:r>
        <w:t xml:space="preserve">associates. </w:t>
      </w:r>
      <w:r w:rsidR="006A4E05">
        <w:t>The Awarding Bodies</w:t>
      </w:r>
      <w:r>
        <w:t xml:space="preserve"> have their own policies which cover disputes between themselves</w:t>
      </w:r>
      <w:r>
        <w:t xml:space="preserve"> and</w:t>
      </w:r>
      <w:r>
        <w:rPr>
          <w:spacing w:val="-1"/>
        </w:rPr>
        <w:t xml:space="preserve"> </w:t>
      </w:r>
      <w:r>
        <w:t>us,</w:t>
      </w:r>
      <w:r>
        <w:rPr>
          <w:spacing w:val="-1"/>
        </w:rPr>
        <w:t xml:space="preserve"> </w:t>
      </w:r>
      <w:r w:rsidR="006A4E05"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7C7DBA35" w14:textId="7946C70D" w:rsidR="009025E4" w:rsidRDefault="00790BCD">
      <w:pPr>
        <w:pStyle w:val="BodyText"/>
        <w:spacing w:line="276" w:lineRule="auto"/>
        <w:ind w:left="101" w:right="272"/>
      </w:pPr>
      <w:r>
        <w:t xml:space="preserve">The </w:t>
      </w:r>
      <w:r w:rsidR="006A4E05">
        <w:t>C</w:t>
      </w:r>
      <w:r>
        <w:t xml:space="preserve">entre </w:t>
      </w:r>
      <w:r w:rsidR="006A4E05">
        <w:t>M</w:t>
      </w:r>
      <w:r>
        <w:t>anager is responsible for dealing with s</w:t>
      </w:r>
      <w:r>
        <w:t>tage two complaints in almost all</w:t>
      </w:r>
      <w:r>
        <w:rPr>
          <w:spacing w:val="1"/>
        </w:rPr>
        <w:t xml:space="preserve"> </w:t>
      </w:r>
      <w:r>
        <w:t xml:space="preserve">instances, the exception being if the complaint is of a </w:t>
      </w:r>
      <w:r>
        <w:t>nature involving</w:t>
      </w:r>
      <w:r w:rsidR="006A4E05">
        <w:t xml:space="preserve"> actions </w:t>
      </w:r>
      <w:proofErr w:type="gramStart"/>
      <w:r w:rsidR="006A4E05">
        <w:t xml:space="preserve">by </w:t>
      </w:r>
      <w:r>
        <w:rPr>
          <w:spacing w:val="-59"/>
        </w:rPr>
        <w:t xml:space="preserve"> </w:t>
      </w:r>
      <w:r>
        <w:t>the</w:t>
      </w:r>
      <w:proofErr w:type="gramEnd"/>
      <w:r>
        <w:t xml:space="preserve"> </w:t>
      </w:r>
      <w:r w:rsidR="006A4E05">
        <w:t>C</w:t>
      </w:r>
      <w:r>
        <w:t xml:space="preserve">entre </w:t>
      </w:r>
      <w:r w:rsidR="006A4E05">
        <w:t>M</w:t>
      </w:r>
      <w:r>
        <w:t>anager. In the case of the latter, responsibility would be delegated to another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body.</w:t>
      </w:r>
    </w:p>
    <w:p w14:paraId="7E5D76DD" w14:textId="77777777" w:rsidR="009025E4" w:rsidRDefault="009025E4">
      <w:pPr>
        <w:pStyle w:val="BodyText"/>
        <w:rPr>
          <w:sz w:val="24"/>
        </w:rPr>
      </w:pPr>
    </w:p>
    <w:p w14:paraId="62A606FA" w14:textId="77777777" w:rsidR="009025E4" w:rsidRDefault="009025E4">
      <w:pPr>
        <w:pStyle w:val="BodyText"/>
        <w:spacing w:before="8"/>
        <w:rPr>
          <w:sz w:val="26"/>
        </w:rPr>
      </w:pPr>
    </w:p>
    <w:p w14:paraId="1666870E" w14:textId="77777777" w:rsidR="009025E4" w:rsidRDefault="00790BCD">
      <w:pPr>
        <w:pStyle w:val="Heading1"/>
      </w:pPr>
      <w:r>
        <w:t>Procedures</w:t>
      </w:r>
    </w:p>
    <w:p w14:paraId="7657DC94" w14:textId="77777777" w:rsidR="009025E4" w:rsidRDefault="009025E4">
      <w:pPr>
        <w:pStyle w:val="BodyText"/>
        <w:spacing w:before="7"/>
        <w:rPr>
          <w:b/>
          <w:sz w:val="27"/>
        </w:rPr>
      </w:pPr>
    </w:p>
    <w:p w14:paraId="23B61852" w14:textId="07D74336" w:rsidR="009025E4" w:rsidRDefault="00790BCD">
      <w:pPr>
        <w:pStyle w:val="BodyText"/>
        <w:spacing w:line="278" w:lineRule="auto"/>
        <w:ind w:left="101" w:right="130"/>
        <w:jc w:val="both"/>
      </w:pPr>
      <w:r>
        <w:t>This policy is made publicly available on our website, and candidates (and parents/guardians</w:t>
      </w:r>
      <w:r>
        <w:rPr>
          <w:spacing w:val="-59"/>
        </w:rPr>
        <w:t xml:space="preserve"> </w:t>
      </w:r>
      <w:r>
        <w:t xml:space="preserve">where applicable) are made aware that they can view it here at </w:t>
      </w:r>
      <w:hyperlink w:history="1">
        <w:r w:rsidR="006A4E05" w:rsidRPr="001828EC">
          <w:rPr>
            <w:rStyle w:val="Hyperlink"/>
          </w:rPr>
          <w:t xml:space="preserve">www.wiltshireexamcentre.com </w:t>
        </w:r>
      </w:hyperlink>
      <w:proofErr w:type="gramStart"/>
      <w:r>
        <w:t>or</w:t>
      </w:r>
      <w:r w:rsidR="006A4E05">
        <w:t xml:space="preserve"> </w:t>
      </w:r>
      <w:r>
        <w:rPr>
          <w:spacing w:val="-59"/>
        </w:rPr>
        <w:t xml:space="preserve"> </w:t>
      </w:r>
      <w:r w:rsidR="006A4E05">
        <w:t>they</w:t>
      </w:r>
      <w:proofErr w:type="gramEnd"/>
      <w:r w:rsidR="006A4E05">
        <w:t xml:space="preserve"> may </w:t>
      </w:r>
      <w:r>
        <w:t>request a</w:t>
      </w:r>
      <w:r>
        <w:rPr>
          <w:spacing w:val="-1"/>
        </w:rPr>
        <w:t xml:space="preserve"> </w:t>
      </w:r>
      <w:r>
        <w:t>copy.</w:t>
      </w:r>
    </w:p>
    <w:p w14:paraId="1BCFD3B0" w14:textId="0A2CCCC4" w:rsidR="009025E4" w:rsidRDefault="00790BCD">
      <w:pPr>
        <w:pStyle w:val="BodyText"/>
        <w:spacing w:before="6" w:line="276" w:lineRule="auto"/>
        <w:ind w:left="101" w:right="170"/>
      </w:pPr>
      <w:r>
        <w:t xml:space="preserve">Complaints may be made in any format and may be verbal or written. It is our aim that </w:t>
      </w:r>
      <w:proofErr w:type="gramStart"/>
      <w:r>
        <w:t>the</w:t>
      </w:r>
      <w:r>
        <w:t xml:space="preserve"> majority of</w:t>
      </w:r>
      <w:proofErr w:type="gramEnd"/>
      <w:r>
        <w:t xml:space="preserve"> complaints are dealt with informally and promptly without the need for the</w:t>
      </w:r>
      <w:r>
        <w:rPr>
          <w:spacing w:val="1"/>
        </w:rPr>
        <w:t xml:space="preserve"> </w:t>
      </w:r>
      <w:r>
        <w:t xml:space="preserve">procedure detailed below. We encourage an open communication culture where </w:t>
      </w:r>
      <w:r w:rsidR="006A4E05">
        <w:t>learners/candidates</w:t>
      </w:r>
      <w:r>
        <w:t>,</w:t>
      </w:r>
      <w:r>
        <w:rPr>
          <w:spacing w:val="-59"/>
        </w:rPr>
        <w:t xml:space="preserve"> </w:t>
      </w:r>
      <w:r>
        <w:t xml:space="preserve">staff and associates should always feel able to raise issues and to respond </w:t>
      </w:r>
      <w:r>
        <w:t>with empathy</w:t>
      </w:r>
      <w:r>
        <w:rPr>
          <w:spacing w:val="1"/>
        </w:rPr>
        <w:t xml:space="preserve"> </w:t>
      </w:r>
      <w:r>
        <w:t>and a “can-do” attitude to resolution. However, where the informal approach does not</w:t>
      </w:r>
      <w:r>
        <w:rPr>
          <w:spacing w:val="1"/>
        </w:rPr>
        <w:t xml:space="preserve"> </w:t>
      </w:r>
      <w:r>
        <w:t xml:space="preserve">resolve an </w:t>
      </w:r>
      <w:proofErr w:type="gramStart"/>
      <w:r>
        <w:t>issue</w:t>
      </w:r>
      <w:proofErr w:type="gramEnd"/>
      <w:r>
        <w:t xml:space="preserve"> or the complainant feels the issue warrants a formal grievance procedure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EF8CEDF" w14:textId="77777777" w:rsidR="009025E4" w:rsidRDefault="009025E4">
      <w:pPr>
        <w:pStyle w:val="BodyText"/>
        <w:spacing w:before="2"/>
        <w:rPr>
          <w:sz w:val="25"/>
        </w:rPr>
      </w:pPr>
    </w:p>
    <w:p w14:paraId="7A2502DF" w14:textId="77777777" w:rsidR="009025E4" w:rsidRDefault="00790BCD">
      <w:pPr>
        <w:pStyle w:val="BodyText"/>
        <w:spacing w:before="1"/>
        <w:ind w:left="101"/>
      </w:pPr>
      <w:r>
        <w:rPr>
          <w:u w:val="single"/>
        </w:rPr>
        <w:t>Stage</w:t>
      </w:r>
      <w:r>
        <w:rPr>
          <w:spacing w:val="-3"/>
          <w:u w:val="single"/>
        </w:rPr>
        <w:t xml:space="preserve"> </w:t>
      </w:r>
      <w:r>
        <w:rPr>
          <w:u w:val="single"/>
        </w:rPr>
        <w:t>One</w:t>
      </w:r>
    </w:p>
    <w:p w14:paraId="78EC1840" w14:textId="77777777" w:rsidR="009025E4" w:rsidRDefault="00790BCD">
      <w:pPr>
        <w:pStyle w:val="BodyText"/>
        <w:spacing w:before="32" w:line="278" w:lineRule="auto"/>
        <w:ind w:left="101" w:right="449" w:firstLine="61"/>
        <w:jc w:val="both"/>
      </w:pPr>
      <w:r>
        <w:t>Complaints should in the first instance, be raised with the member of staff or associate to</w:t>
      </w:r>
      <w:r>
        <w:rPr>
          <w:spacing w:val="-59"/>
        </w:rPr>
        <w:t xml:space="preserve"> </w:t>
      </w:r>
      <w:r>
        <w:t>which it relates. You may do this verbally (for example, over video call or the phone), or in</w:t>
      </w:r>
      <w:r>
        <w:rPr>
          <w:spacing w:val="-59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form,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email.</w:t>
      </w:r>
    </w:p>
    <w:p w14:paraId="146B372E" w14:textId="77777777" w:rsidR="009025E4" w:rsidRDefault="00790BCD">
      <w:pPr>
        <w:pStyle w:val="BodyText"/>
        <w:spacing w:line="276" w:lineRule="auto"/>
        <w:ind w:left="101" w:right="431" w:firstLine="61"/>
      </w:pPr>
      <w:r>
        <w:t xml:space="preserve">All staff and associates of Wiltshire </w:t>
      </w:r>
      <w:r>
        <w:t>Exam Centre are expected to take a positive and</w:t>
      </w:r>
      <w:r>
        <w:rPr>
          <w:spacing w:val="1"/>
        </w:rPr>
        <w:t xml:space="preserve"> </w:t>
      </w:r>
      <w:r>
        <w:t>empathetic approach to the raising of issues/negative feedback. The member of staff is</w:t>
      </w:r>
      <w:r>
        <w:rPr>
          <w:spacing w:val="1"/>
        </w:rPr>
        <w:t xml:space="preserve"> </w:t>
      </w:r>
      <w:r>
        <w:t>expected to acknowledge your complaint, in writing, within 2 working days and to respond</w:t>
      </w:r>
      <w:r>
        <w:rPr>
          <w:spacing w:val="-59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days.</w:t>
      </w:r>
    </w:p>
    <w:p w14:paraId="703090C9" w14:textId="77777777" w:rsidR="009025E4" w:rsidRDefault="00790BCD">
      <w:pPr>
        <w:pStyle w:val="BodyText"/>
        <w:spacing w:line="273" w:lineRule="auto"/>
        <w:ind w:left="101" w:right="272" w:firstLine="61"/>
      </w:pPr>
      <w:r>
        <w:t>This response may be an acknowledgement and apology if we have got something wrong,</w:t>
      </w:r>
      <w:r>
        <w:rPr>
          <w:spacing w:val="-59"/>
        </w:rPr>
        <w:t xml:space="preserve"> </w:t>
      </w:r>
      <w:r>
        <w:t xml:space="preserve">and a proposed resolution; </w:t>
      </w:r>
      <w:proofErr w:type="gramStart"/>
      <w:r>
        <w:t>alternatively</w:t>
      </w:r>
      <w:proofErr w:type="gramEnd"/>
      <w:r>
        <w:t xml:space="preserve"> it may be an explanation as to why a particular</w:t>
      </w:r>
      <w:r>
        <w:rPr>
          <w:spacing w:val="1"/>
        </w:rPr>
        <w:t xml:space="preserve"> </w:t>
      </w:r>
      <w:r>
        <w:t>action has been taken by us. In all cases, we will seek to ensure that the person/s</w:t>
      </w:r>
      <w:r>
        <w:t xml:space="preserve"> who filed</w:t>
      </w:r>
      <w:r>
        <w:rPr>
          <w:spacing w:val="-59"/>
        </w:rPr>
        <w:t xml:space="preserve"> </w:t>
      </w:r>
      <w:r>
        <w:t>is satisfied with the resolution we propose and that where applicable, we learn from any</w:t>
      </w:r>
      <w:r>
        <w:rPr>
          <w:spacing w:val="1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made.</w:t>
      </w:r>
    </w:p>
    <w:p w14:paraId="122F6E40" w14:textId="77777777" w:rsidR="009025E4" w:rsidRDefault="009025E4">
      <w:pPr>
        <w:spacing w:line="273" w:lineRule="auto"/>
        <w:sectPr w:rsidR="009025E4">
          <w:type w:val="continuous"/>
          <w:pgSz w:w="11920" w:h="16860"/>
          <w:pgMar w:top="1380" w:right="1320" w:bottom="280" w:left="1340" w:header="720" w:footer="720" w:gutter="0"/>
          <w:cols w:space="720"/>
        </w:sectPr>
      </w:pPr>
    </w:p>
    <w:p w14:paraId="40A55136" w14:textId="77777777" w:rsidR="009025E4" w:rsidRDefault="00790BCD">
      <w:pPr>
        <w:pStyle w:val="BodyText"/>
        <w:spacing w:before="70"/>
        <w:ind w:left="101"/>
      </w:pPr>
      <w:r>
        <w:lastRenderedPageBreak/>
        <w:t>Stage</w:t>
      </w:r>
      <w:r>
        <w:rPr>
          <w:spacing w:val="-3"/>
        </w:rPr>
        <w:t xml:space="preserve"> </w:t>
      </w:r>
      <w:r>
        <w:t>Two</w:t>
      </w:r>
    </w:p>
    <w:p w14:paraId="212954CB" w14:textId="7ABFE6FD" w:rsidR="009025E4" w:rsidRDefault="00790BCD">
      <w:pPr>
        <w:pStyle w:val="BodyText"/>
        <w:spacing w:before="47" w:line="273" w:lineRule="auto"/>
        <w:ind w:left="101" w:right="151" w:firstLine="61"/>
      </w:pPr>
      <w:r>
        <w:t>Where it is not possible to raise an issue informally</w:t>
      </w:r>
      <w:r w:rsidR="006A4E05">
        <w:t xml:space="preserve"> or</w:t>
      </w:r>
      <w:r>
        <w:t xml:space="preserve"> through stage one, or where a stage</w:t>
      </w:r>
      <w:r>
        <w:rPr>
          <w:spacing w:val="-59"/>
        </w:rPr>
        <w:t xml:space="preserve"> </w:t>
      </w:r>
      <w:r>
        <w:t xml:space="preserve">one complaint has not </w:t>
      </w:r>
      <w:r>
        <w:t xml:space="preserve">been successfully resolved, the next stage is to write to the </w:t>
      </w:r>
      <w:r w:rsidR="006A4E05">
        <w:t>C</w:t>
      </w:r>
      <w:r>
        <w:t>entre</w:t>
      </w:r>
      <w:r>
        <w:rPr>
          <w:spacing w:val="1"/>
        </w:rPr>
        <w:t xml:space="preserve"> </w:t>
      </w:r>
      <w:r w:rsidR="006A4E05">
        <w:br/>
        <w:t>M</w:t>
      </w:r>
      <w:r>
        <w:t xml:space="preserve">anager. The </w:t>
      </w:r>
      <w:proofErr w:type="spellStart"/>
      <w:r>
        <w:t>centre</w:t>
      </w:r>
      <w:proofErr w:type="spellEnd"/>
      <w:r>
        <w:t xml:space="preserve"> manager will follow the same timeline for responding as outlined at</w:t>
      </w:r>
      <w:r>
        <w:rPr>
          <w:spacing w:val="1"/>
        </w:rPr>
        <w:t xml:space="preserve"> </w:t>
      </w:r>
      <w:r>
        <w:t>stage one, except that he/she may advise that they need some additional time to investigate</w:t>
      </w:r>
      <w:r>
        <w:rPr>
          <w:spacing w:val="-59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 28</w:t>
      </w:r>
      <w:r>
        <w:rPr>
          <w:spacing w:val="-1"/>
        </w:rPr>
        <w:t xml:space="preserve"> </w:t>
      </w:r>
      <w:r>
        <w:t>days.</w:t>
      </w:r>
    </w:p>
    <w:p w14:paraId="49A6B0DC" w14:textId="77777777" w:rsidR="009025E4" w:rsidRDefault="00790BCD">
      <w:pPr>
        <w:pStyle w:val="BodyText"/>
        <w:spacing w:before="14" w:line="278" w:lineRule="auto"/>
        <w:ind w:left="101" w:right="163" w:firstLine="61"/>
      </w:pPr>
      <w:r>
        <w:t xml:space="preserve">The </w:t>
      </w:r>
      <w:proofErr w:type="spellStart"/>
      <w:r>
        <w:t>centre</w:t>
      </w:r>
      <w:proofErr w:type="spellEnd"/>
      <w:r>
        <w:t xml:space="preserve"> manager will seek to speak to all involved with the issue and to review any prior</w:t>
      </w:r>
      <w:r>
        <w:rPr>
          <w:spacing w:val="1"/>
        </w:rPr>
        <w:t xml:space="preserve"> </w:t>
      </w:r>
      <w:r>
        <w:t>recorded complaints - and how they were dealt with. As above, the primary aim is to achieve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</w:t>
      </w:r>
      <w:r>
        <w:t>inant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people/groups</w:t>
      </w:r>
      <w:r>
        <w:rPr>
          <w:spacing w:val="-4"/>
        </w:rPr>
        <w:t xml:space="preserve"> </w:t>
      </w:r>
      <w:r>
        <w:t>affected.</w:t>
      </w:r>
    </w:p>
    <w:p w14:paraId="1ADBBBD8" w14:textId="77777777" w:rsidR="009025E4" w:rsidRDefault="009025E4">
      <w:pPr>
        <w:pStyle w:val="BodyText"/>
        <w:rPr>
          <w:sz w:val="24"/>
        </w:rPr>
      </w:pPr>
    </w:p>
    <w:p w14:paraId="7AC211BA" w14:textId="77777777" w:rsidR="009025E4" w:rsidRDefault="00790BCD">
      <w:pPr>
        <w:pStyle w:val="BodyText"/>
        <w:ind w:left="101"/>
      </w:pPr>
      <w:r>
        <w:t>Stage</w:t>
      </w:r>
      <w:r>
        <w:rPr>
          <w:spacing w:val="-3"/>
        </w:rPr>
        <w:t xml:space="preserve"> </w:t>
      </w:r>
      <w:r>
        <w:t>Three</w:t>
      </w:r>
    </w:p>
    <w:p w14:paraId="022EF89F" w14:textId="7557FFDB" w:rsidR="009025E4" w:rsidRDefault="00790BCD">
      <w:pPr>
        <w:pStyle w:val="BodyText"/>
        <w:spacing w:before="47" w:line="278" w:lineRule="auto"/>
        <w:ind w:left="101" w:right="150" w:firstLine="61"/>
      </w:pPr>
      <w:r>
        <w:t>In certain instances where we are unable to resolve a serious issue, you may have cause to</w:t>
      </w:r>
      <w:r>
        <w:rPr>
          <w:spacing w:val="-59"/>
        </w:rPr>
        <w:t xml:space="preserve"> </w:t>
      </w:r>
      <w:r>
        <w:t xml:space="preserve">raise the complaint with </w:t>
      </w:r>
      <w:r>
        <w:t>the awarding body. You can find their relevant</w:t>
      </w:r>
      <w:r>
        <w:rPr>
          <w:spacing w:val="1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here:</w:t>
      </w:r>
      <w:r>
        <w:rPr>
          <w:spacing w:val="-3"/>
        </w:rPr>
        <w:t xml:space="preserve"> </w:t>
      </w:r>
      <w:hyperlink r:id="rId4" w:history="1">
        <w:r w:rsidR="006A4E05" w:rsidRPr="001828EC">
          <w:rPr>
            <w:rStyle w:val="Hyperlink"/>
          </w:rPr>
          <w:t>https://openawards.org.uk/centres/policies-and-procedures/</w:t>
        </w:r>
      </w:hyperlink>
    </w:p>
    <w:p w14:paraId="35A784B3" w14:textId="0C004677" w:rsidR="006A4E05" w:rsidRDefault="00D705A7">
      <w:pPr>
        <w:pStyle w:val="BodyText"/>
        <w:spacing w:before="47" w:line="278" w:lineRule="auto"/>
        <w:ind w:left="101" w:right="150" w:firstLine="61"/>
      </w:pPr>
      <w:hyperlink r:id="rId5" w:history="1">
        <w:r w:rsidRPr="00D705A7">
          <w:rPr>
            <w:rStyle w:val="Hyperlink"/>
          </w:rPr>
          <w:t>Contact us | The Prince's Trust (princes-trust.org.uk)</w:t>
        </w:r>
      </w:hyperlink>
    </w:p>
    <w:p w14:paraId="5F049C8A" w14:textId="77777777" w:rsidR="009025E4" w:rsidRDefault="009025E4">
      <w:pPr>
        <w:pStyle w:val="BodyText"/>
        <w:rPr>
          <w:sz w:val="24"/>
        </w:rPr>
      </w:pPr>
    </w:p>
    <w:p w14:paraId="4EF63D7D" w14:textId="77777777" w:rsidR="009025E4" w:rsidRDefault="009025E4">
      <w:pPr>
        <w:pStyle w:val="BodyText"/>
        <w:rPr>
          <w:sz w:val="24"/>
        </w:rPr>
      </w:pPr>
    </w:p>
    <w:p w14:paraId="57A1CFB5" w14:textId="77777777" w:rsidR="009025E4" w:rsidRDefault="009025E4">
      <w:pPr>
        <w:pStyle w:val="BodyText"/>
        <w:spacing w:before="10"/>
        <w:rPr>
          <w:sz w:val="26"/>
        </w:rPr>
      </w:pPr>
    </w:p>
    <w:p w14:paraId="75AA30C9" w14:textId="77777777" w:rsidR="009025E4" w:rsidRDefault="00790BCD">
      <w:pPr>
        <w:pStyle w:val="Heading1"/>
      </w:pPr>
      <w:r>
        <w:t>Documentation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</w:p>
    <w:p w14:paraId="1D1E8DA7" w14:textId="77777777" w:rsidR="009025E4" w:rsidRDefault="009025E4">
      <w:pPr>
        <w:pStyle w:val="BodyText"/>
        <w:spacing w:before="11"/>
        <w:rPr>
          <w:b/>
          <w:sz w:val="28"/>
        </w:rPr>
      </w:pPr>
    </w:p>
    <w:p w14:paraId="382CF23F" w14:textId="77777777" w:rsidR="009025E4" w:rsidRDefault="00790BCD">
      <w:pPr>
        <w:pStyle w:val="BodyText"/>
        <w:spacing w:line="276" w:lineRule="auto"/>
        <w:ind w:left="101" w:right="114" w:firstLine="61"/>
      </w:pPr>
      <w:r>
        <w:t>Wiltshire Exam Centre will, where lawfully entitled or obliged to, keep records of feedback</w:t>
      </w:r>
      <w:r>
        <w:rPr>
          <w:spacing w:val="1"/>
        </w:rPr>
        <w:t xml:space="preserve"> </w:t>
      </w:r>
      <w:r>
        <w:t>and complaints. We use these to improve our service and to prevent dissatisfaction arising in</w:t>
      </w:r>
      <w:r>
        <w:rPr>
          <w:spacing w:val="-59"/>
        </w:rPr>
        <w:t xml:space="preserve"> </w:t>
      </w:r>
      <w:r>
        <w:t>the future. Any records we keep will always be in line with our Privac</w:t>
      </w:r>
      <w:r>
        <w:t>y and Data Protection</w:t>
      </w:r>
      <w:r>
        <w:rPr>
          <w:spacing w:val="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us.</w:t>
      </w:r>
    </w:p>
    <w:p w14:paraId="2F5625AB" w14:textId="77777777" w:rsidR="009025E4" w:rsidRDefault="009025E4">
      <w:pPr>
        <w:pStyle w:val="BodyText"/>
        <w:rPr>
          <w:sz w:val="20"/>
        </w:rPr>
      </w:pPr>
    </w:p>
    <w:p w14:paraId="16EFCF3D" w14:textId="77777777" w:rsidR="009025E4" w:rsidRDefault="009025E4">
      <w:pPr>
        <w:pStyle w:val="BodyText"/>
        <w:rPr>
          <w:sz w:val="20"/>
        </w:rPr>
      </w:pPr>
    </w:p>
    <w:p w14:paraId="08EE20E5" w14:textId="77777777" w:rsidR="009025E4" w:rsidRDefault="009025E4">
      <w:pPr>
        <w:pStyle w:val="BodyText"/>
        <w:rPr>
          <w:sz w:val="20"/>
        </w:rPr>
      </w:pPr>
    </w:p>
    <w:p w14:paraId="32709A7A" w14:textId="77777777" w:rsidR="009025E4" w:rsidRDefault="009025E4">
      <w:pPr>
        <w:pStyle w:val="BodyText"/>
        <w:rPr>
          <w:sz w:val="20"/>
        </w:rPr>
      </w:pPr>
    </w:p>
    <w:p w14:paraId="24E31762" w14:textId="77777777" w:rsidR="009025E4" w:rsidRDefault="009025E4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3378"/>
        <w:gridCol w:w="3018"/>
      </w:tblGrid>
      <w:tr w:rsidR="009025E4" w14:paraId="2978700A" w14:textId="77777777">
        <w:trPr>
          <w:trHeight w:val="460"/>
        </w:trPr>
        <w:tc>
          <w:tcPr>
            <w:tcW w:w="2627" w:type="dxa"/>
          </w:tcPr>
          <w:p w14:paraId="3704D502" w14:textId="77777777" w:rsidR="009025E4" w:rsidRDefault="00790BCD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</w:p>
        </w:tc>
        <w:tc>
          <w:tcPr>
            <w:tcW w:w="3378" w:type="dxa"/>
          </w:tcPr>
          <w:p w14:paraId="4F6C6F5D" w14:textId="77777777" w:rsidR="009025E4" w:rsidRDefault="00790BCD">
            <w:pPr>
              <w:pStyle w:val="TableParagraph"/>
            </w:pPr>
            <w:r>
              <w:t>27th</w:t>
            </w:r>
            <w:r>
              <w:rPr>
                <w:spacing w:val="-4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018" w:type="dxa"/>
          </w:tcPr>
          <w:p w14:paraId="0DF92120" w14:textId="77777777" w:rsidR="009025E4" w:rsidRDefault="00790BCD">
            <w:pPr>
              <w:pStyle w:val="TableParagraph"/>
            </w:pPr>
            <w:r>
              <w:t>C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Brown</w:t>
            </w:r>
          </w:p>
        </w:tc>
      </w:tr>
      <w:tr w:rsidR="009025E4" w14:paraId="4AB8A384" w14:textId="77777777">
        <w:trPr>
          <w:trHeight w:val="445"/>
        </w:trPr>
        <w:tc>
          <w:tcPr>
            <w:tcW w:w="2627" w:type="dxa"/>
          </w:tcPr>
          <w:p w14:paraId="0C6EF7F1" w14:textId="21E3130A" w:rsidR="009025E4" w:rsidRDefault="00790BCD">
            <w:pPr>
              <w:pStyle w:val="TableParagraph"/>
              <w:spacing w:before="91"/>
            </w:pPr>
            <w:r>
              <w:t>Review</w:t>
            </w:r>
            <w:r w:rsidR="00D705A7">
              <w:rPr>
                <w:spacing w:val="-3"/>
              </w:rPr>
              <w:t>ed on</w:t>
            </w:r>
          </w:p>
        </w:tc>
        <w:tc>
          <w:tcPr>
            <w:tcW w:w="3378" w:type="dxa"/>
          </w:tcPr>
          <w:p w14:paraId="182A96E5" w14:textId="2D7DBEED" w:rsidR="009025E4" w:rsidRDefault="00790BCD">
            <w:pPr>
              <w:pStyle w:val="TableParagraph"/>
              <w:spacing w:before="91"/>
            </w:pPr>
            <w:r>
              <w:t>2</w:t>
            </w:r>
            <w:r w:rsidR="00D705A7">
              <w:t>7</w:t>
            </w:r>
            <w:r w:rsidR="00D705A7" w:rsidRPr="00D705A7">
              <w:rPr>
                <w:vertAlign w:val="superscript"/>
              </w:rPr>
              <w:t>th</w:t>
            </w:r>
            <w:r w:rsidR="00D705A7">
              <w:t xml:space="preserve"> April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018" w:type="dxa"/>
          </w:tcPr>
          <w:p w14:paraId="34EB8777" w14:textId="25CEC85D" w:rsidR="009025E4" w:rsidRDefault="00D705A7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 M Brown</w:t>
            </w:r>
          </w:p>
        </w:tc>
      </w:tr>
      <w:tr w:rsidR="009025E4" w14:paraId="24243B54" w14:textId="77777777">
        <w:trPr>
          <w:trHeight w:val="970"/>
        </w:trPr>
        <w:tc>
          <w:tcPr>
            <w:tcW w:w="2627" w:type="dxa"/>
          </w:tcPr>
          <w:p w14:paraId="2865DD24" w14:textId="77777777" w:rsidR="009025E4" w:rsidRDefault="00790BCD">
            <w:pPr>
              <w:pStyle w:val="TableParagraph"/>
              <w:spacing w:line="242" w:lineRule="auto"/>
              <w:ind w:right="303"/>
            </w:pPr>
            <w:r>
              <w:t>Review circumstances</w:t>
            </w:r>
            <w:r>
              <w:rPr>
                <w:spacing w:val="-59"/>
              </w:rPr>
              <w:t xml:space="preserve"> </w:t>
            </w:r>
            <w:r>
              <w:t>(before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7"/>
              </w:rPr>
              <w:t xml:space="preserve"> </w:t>
            </w:r>
            <w:r>
              <w:t>review)</w:t>
            </w:r>
          </w:p>
        </w:tc>
        <w:tc>
          <w:tcPr>
            <w:tcW w:w="3378" w:type="dxa"/>
          </w:tcPr>
          <w:p w14:paraId="66E16DEA" w14:textId="77777777" w:rsidR="009025E4" w:rsidRDefault="00790BCD">
            <w:pPr>
              <w:pStyle w:val="TableParagraph"/>
              <w:spacing w:line="242" w:lineRule="auto"/>
              <w:ind w:right="161"/>
            </w:pPr>
            <w:r>
              <w:t>Instruction by awarding body,</w:t>
            </w:r>
            <w:r>
              <w:rPr>
                <w:spacing w:val="1"/>
              </w:rPr>
              <w:t xml:space="preserve"> </w:t>
            </w:r>
            <w:r>
              <w:t>learner or staff complaint, result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assurance</w:t>
            </w:r>
            <w:r>
              <w:rPr>
                <w:spacing w:val="-5"/>
              </w:rPr>
              <w:t xml:space="preserve"> </w:t>
            </w:r>
            <w:r>
              <w:t>activities.</w:t>
            </w:r>
          </w:p>
        </w:tc>
        <w:tc>
          <w:tcPr>
            <w:tcW w:w="3018" w:type="dxa"/>
          </w:tcPr>
          <w:p w14:paraId="7142A0EB" w14:textId="77777777" w:rsidR="009025E4" w:rsidRDefault="009025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D04C4FB" w14:textId="77777777" w:rsidR="00790BCD" w:rsidRDefault="00790BCD"/>
    <w:sectPr w:rsidR="00790BCD">
      <w:pgSz w:w="11920" w:h="168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E4"/>
    <w:rsid w:val="006A4E05"/>
    <w:rsid w:val="00790BCD"/>
    <w:rsid w:val="009025E4"/>
    <w:rsid w:val="00D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80D0"/>
  <w15:docId w15:val="{407A9E52-8F88-488B-8759-D0E17A8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3372" w:right="34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95"/>
    </w:pPr>
  </w:style>
  <w:style w:type="character" w:styleId="Hyperlink">
    <w:name w:val="Hyperlink"/>
    <w:basedOn w:val="DefaultParagraphFont"/>
    <w:uiPriority w:val="99"/>
    <w:unhideWhenUsed/>
    <w:rsid w:val="006A4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ces-trust.org.uk/contact-us" TargetMode="External"/><Relationship Id="rId4" Type="http://schemas.openxmlformats.org/officeDocument/2006/relationships/hyperlink" Target="https://openawards.org.uk/centres/policies-and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Brown</cp:lastModifiedBy>
  <cp:revision>2</cp:revision>
  <dcterms:created xsi:type="dcterms:W3CDTF">2021-04-27T11:27:00Z</dcterms:created>
  <dcterms:modified xsi:type="dcterms:W3CDTF">2021-04-27T11:27:00Z</dcterms:modified>
</cp:coreProperties>
</file>